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86" w:rsidRDefault="00906986" w:rsidP="0090698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POPIS PREFERENČNÍCH KRITÉRIÍ</w:t>
      </w:r>
    </w:p>
    <w:p w:rsidR="00906986" w:rsidRPr="0018146B" w:rsidRDefault="00193B1D" w:rsidP="009069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výzva MAS </w:t>
      </w:r>
      <w:proofErr w:type="spellStart"/>
      <w:r>
        <w:rPr>
          <w:b/>
          <w:sz w:val="28"/>
          <w:szCs w:val="28"/>
        </w:rPr>
        <w:t>Holicko</w:t>
      </w:r>
      <w:proofErr w:type="spellEnd"/>
      <w:r>
        <w:rPr>
          <w:b/>
          <w:sz w:val="28"/>
          <w:szCs w:val="28"/>
        </w:rPr>
        <w:t xml:space="preserve"> – IROP - </w:t>
      </w:r>
      <w:r w:rsidR="00906986" w:rsidRPr="0018146B">
        <w:rPr>
          <w:b/>
          <w:sz w:val="28"/>
          <w:szCs w:val="28"/>
        </w:rPr>
        <w:t>Bezpečnost silničního provozu</w:t>
      </w:r>
      <w:r>
        <w:rPr>
          <w:b/>
          <w:sz w:val="28"/>
          <w:szCs w:val="28"/>
        </w:rPr>
        <w:t xml:space="preserve"> (2017)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0"/>
        <w:gridCol w:w="3404"/>
        <w:gridCol w:w="3288"/>
      </w:tblGrid>
      <w:tr w:rsidR="002216D2" w:rsidRPr="002D72BE" w:rsidTr="002216D2">
        <w:tc>
          <w:tcPr>
            <w:tcW w:w="2419" w:type="dxa"/>
          </w:tcPr>
          <w:p w:rsidR="002216D2" w:rsidRPr="002D72BE" w:rsidRDefault="002216D2" w:rsidP="00FB27AE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Kritéria věcného hodnocení pro SC 1.2</w:t>
            </w:r>
          </w:p>
        </w:tc>
        <w:tc>
          <w:tcPr>
            <w:tcW w:w="3501" w:type="dxa"/>
          </w:tcPr>
          <w:p w:rsidR="002216D2" w:rsidRPr="002D72BE" w:rsidRDefault="002216D2" w:rsidP="00FB2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Popis hodnocení</w:t>
            </w:r>
          </w:p>
        </w:tc>
        <w:tc>
          <w:tcPr>
            <w:tcW w:w="3368" w:type="dxa"/>
          </w:tcPr>
          <w:p w:rsidR="002216D2" w:rsidRPr="002D72BE" w:rsidRDefault="002216D2" w:rsidP="00FB27AE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2216D2" w:rsidRPr="002D72BE" w:rsidTr="002216D2">
        <w:tc>
          <w:tcPr>
            <w:tcW w:w="2419" w:type="dxa"/>
            <w:vMerge w:val="restart"/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501" w:type="dxa"/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uvedl do Studie proveditelnosti reálně nastavený harmonogram projektu tak, aby projekt byl v termínu dokončen. Formulář harmonogram projektu je přílohou výzvy MAS.</w:t>
            </w:r>
          </w:p>
        </w:tc>
        <w:tc>
          <w:tcPr>
            <w:tcW w:w="3368" w:type="dxa"/>
            <w:vMerge w:val="restart"/>
            <w:vAlign w:val="center"/>
          </w:tcPr>
          <w:p w:rsidR="002216D2" w:rsidRPr="009B0EC6" w:rsidRDefault="002216D2" w:rsidP="00E6472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B0EC6">
              <w:rPr>
                <w:sz w:val="20"/>
                <w:szCs w:val="20"/>
              </w:rPr>
              <w:t>tudie proveditelnosti</w:t>
            </w:r>
            <w:r>
              <w:rPr>
                <w:sz w:val="20"/>
                <w:szCs w:val="20"/>
              </w:rPr>
              <w:t>, kapitola č. 4</w:t>
            </w:r>
          </w:p>
        </w:tc>
      </w:tr>
      <w:tr w:rsidR="002216D2" w:rsidRPr="00335B52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335B52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  <w:vAlign w:val="center"/>
          </w:tcPr>
          <w:p w:rsidR="002216D2" w:rsidRPr="00335B52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neuvedl do Studie proveditelnosti reálně nastavený harmonogram projektu.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  <w:vAlign w:val="center"/>
          </w:tcPr>
          <w:p w:rsidR="002216D2" w:rsidRPr="00335B52" w:rsidRDefault="002216D2" w:rsidP="00FB27AE">
            <w:pPr>
              <w:rPr>
                <w:sz w:val="20"/>
                <w:szCs w:val="20"/>
              </w:rPr>
            </w:pPr>
          </w:p>
        </w:tc>
      </w:tr>
      <w:tr w:rsidR="00E6472F" w:rsidRPr="002D72BE" w:rsidTr="00F30F7B">
        <w:trPr>
          <w:trHeight w:val="1758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6472F" w:rsidRPr="00F30F7B" w:rsidRDefault="00E6472F" w:rsidP="00F30F7B">
            <w:pPr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E6472F" w:rsidRPr="00F30F7B" w:rsidRDefault="00E6472F" w:rsidP="00F30F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 w:rsidRPr="00335B52">
              <w:rPr>
                <w:rFonts w:ascii="Calibri" w:hAnsi="Calibri"/>
                <w:color w:val="000000"/>
                <w:sz w:val="20"/>
                <w:szCs w:val="20"/>
              </w:rPr>
              <w:t>V projektu jsou uvedena hlavní rizika a způsob jejich eliminace</w:t>
            </w:r>
          </w:p>
        </w:tc>
        <w:tc>
          <w:tcPr>
            <w:tcW w:w="3501" w:type="dxa"/>
            <w:tcBorders>
              <w:top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 w:rsidRPr="00335B52">
              <w:rPr>
                <w:rFonts w:ascii="Calibri" w:hAnsi="Calibri"/>
                <w:color w:val="000000"/>
                <w:sz w:val="20"/>
                <w:szCs w:val="20"/>
              </w:rPr>
              <w:t xml:space="preserve">Žadatel uvedl ve Studii proveditelnosti rizika v realizační fázi i ve fázi udržitelnosti projektu a způsoby jejich eliminace.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Formulář Rizika projektu je přílohou výzvy MAS – Studie proveditelnosti, kap. Č. 13..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281D">
              <w:rPr>
                <w:sz w:val="20"/>
                <w:szCs w:val="20"/>
              </w:rPr>
              <w:t>tudie proveditelnosti</w:t>
            </w:r>
            <w:r>
              <w:rPr>
                <w:sz w:val="20"/>
                <w:szCs w:val="20"/>
              </w:rPr>
              <w:t>,</w:t>
            </w:r>
          </w:p>
          <w:p w:rsidR="002216D2" w:rsidRPr="0054281D" w:rsidRDefault="002216D2" w:rsidP="00F30F7B">
            <w:pPr>
              <w:pStyle w:val="Odstavecseseznamem"/>
              <w:spacing w:after="0" w:line="240" w:lineRule="auto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kapitola č. 13</w:t>
            </w: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Žadatel neuvedl do Studie proveditelnosti rizika v jednotlivých fázích projektu a způsob jejich eliminace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F30F7B" w:rsidRPr="002D72BE" w:rsidTr="00F30F7B">
        <w:trPr>
          <w:trHeight w:val="1959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30F7B" w:rsidRPr="00F30F7B" w:rsidRDefault="00F30F7B" w:rsidP="00F30F7B">
            <w:pPr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30F7B" w:rsidRPr="00F30F7B" w:rsidRDefault="00F30F7B" w:rsidP="00F30F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zahrnuje přístup k přechodům pro chodce nebo místům pro přecházení</w:t>
            </w:r>
          </w:p>
        </w:tc>
        <w:tc>
          <w:tcPr>
            <w:tcW w:w="3501" w:type="dxa"/>
            <w:tcBorders>
              <w:top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zajišťuje přístup k 1 nebo více přechodům nebo místům pro přecházení.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627E5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2627E5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 4</w:t>
            </w:r>
          </w:p>
          <w:p w:rsidR="002216D2" w:rsidRPr="002627E5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2627E5">
              <w:rPr>
                <w:sz w:val="20"/>
                <w:szCs w:val="20"/>
              </w:rPr>
              <w:t>žádost o podporu</w:t>
            </w: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nezajišťuje přístup k žádnému přechodu nebo místu pro přecházení.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F30F7B" w:rsidRPr="002D72BE" w:rsidTr="00F30F7B">
        <w:trPr>
          <w:trHeight w:val="2263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30F7B" w:rsidRPr="00F30F7B" w:rsidRDefault="00F30F7B" w:rsidP="00F30F7B">
            <w:pPr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F30F7B" w:rsidRPr="00F30F7B" w:rsidRDefault="00F30F7B" w:rsidP="00F30F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zajišťuje přístup k centru, či občanské vybavenosti (např. centrum obce, zastávka, škola, obchod, úřad, hřbitov…)</w:t>
            </w:r>
          </w:p>
        </w:tc>
        <w:tc>
          <w:tcPr>
            <w:tcW w:w="3501" w:type="dxa"/>
            <w:tcBorders>
              <w:top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zajišťuje přístup alespoň k 1 objektu občanské vybavenosti či centru obce.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627E5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2627E5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 4</w:t>
            </w:r>
          </w:p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nezajišťuje přístup k žádnému objektu občanské vybavenosti či centru obce.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F30F7B" w:rsidRPr="002D72BE" w:rsidTr="00F30F7B">
        <w:trPr>
          <w:trHeight w:val="2578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30F7B" w:rsidRPr="00F30F7B" w:rsidRDefault="00F30F7B" w:rsidP="00F30F7B">
            <w:pPr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30F7B" w:rsidRPr="00F30F7B" w:rsidRDefault="00F30F7B" w:rsidP="00F30F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Šetrnost k životnímu prostředí</w:t>
            </w:r>
          </w:p>
        </w:tc>
        <w:tc>
          <w:tcPr>
            <w:tcW w:w="3501" w:type="dxa"/>
            <w:tcBorders>
              <w:top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projektu je alespoň 1 z uvedených možností: výsadba zeleně; zavádění ekologických a šetrných technologií; využití recyklovaných materiálů; využití obnovitelných zdrojů; snižování energetických nákladů; apod.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627E5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2627E5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 7</w:t>
            </w:r>
          </w:p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tabs>
                <w:tab w:val="right" w:pos="4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není šetrný k životnímu prostředí.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F30F7B" w:rsidRPr="00983FF1" w:rsidTr="00F30F7B">
        <w:trPr>
          <w:trHeight w:val="2342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30F7B" w:rsidRPr="00F30F7B" w:rsidRDefault="00F30F7B" w:rsidP="00F30F7B">
            <w:pPr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30F7B" w:rsidRPr="00F30F7B" w:rsidRDefault="00F30F7B" w:rsidP="00F30F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16D2" w:rsidRDefault="002216D2">
      <w:r>
        <w:br w:type="page"/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9"/>
        <w:gridCol w:w="3501"/>
        <w:gridCol w:w="3368"/>
      </w:tblGrid>
      <w:tr w:rsidR="002216D2" w:rsidRPr="00983FF1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983FF1" w:rsidRDefault="002216D2" w:rsidP="00FB27AE">
            <w:pPr>
              <w:rPr>
                <w:sz w:val="20"/>
                <w:szCs w:val="20"/>
              </w:rPr>
            </w:pPr>
            <w:r w:rsidRPr="00983FF1">
              <w:rPr>
                <w:color w:val="000000"/>
                <w:sz w:val="20"/>
                <w:szCs w:val="20"/>
              </w:rPr>
              <w:t>Finanční náročnost projektu</w:t>
            </w:r>
          </w:p>
        </w:tc>
        <w:tc>
          <w:tcPr>
            <w:tcW w:w="3501" w:type="dxa"/>
            <w:tcBorders>
              <w:top w:val="single" w:sz="12" w:space="0" w:color="auto"/>
            </w:tcBorders>
          </w:tcPr>
          <w:p w:rsidR="002216D2" w:rsidRPr="00983FF1" w:rsidRDefault="002216D2" w:rsidP="00FB27A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Celková výše způsobilých výdajů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 činí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maximálně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 1.000.000,-Kč včetně.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983FF1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žádost o podporu</w:t>
            </w:r>
          </w:p>
        </w:tc>
      </w:tr>
      <w:tr w:rsidR="002216D2" w:rsidRPr="002D72BE" w:rsidTr="002216D2">
        <w:tc>
          <w:tcPr>
            <w:tcW w:w="2419" w:type="dxa"/>
            <w:vMerge/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</w:tcPr>
          <w:p w:rsidR="002216D2" w:rsidRPr="00983FF1" w:rsidRDefault="002216D2" w:rsidP="00FB27A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Celková výše způsobilých výdajů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činí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minimálně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 1.000.00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01 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Kč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maximálně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 2.000.000,-Kč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včetně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68" w:type="dxa"/>
            <w:vMerge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</w:tcPr>
          <w:p w:rsidR="002216D2" w:rsidRPr="00983FF1" w:rsidRDefault="002216D2" w:rsidP="00FB27A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Celková výše způsobilých výdajů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,  činí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2.000.00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Kč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více.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F30F7B" w:rsidRPr="00983FF1" w:rsidTr="00F30F7B">
        <w:trPr>
          <w:trHeight w:val="2256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30F7B" w:rsidRPr="00F30F7B" w:rsidRDefault="00F30F7B" w:rsidP="00F30F7B">
            <w:pPr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30F7B" w:rsidRPr="00F30F7B" w:rsidRDefault="00F30F7B" w:rsidP="00F30F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6D2" w:rsidRPr="00983FF1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983FF1" w:rsidRDefault="002216D2" w:rsidP="00FB27AE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Doba realizace projektu 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(platí pro výzvy v letech 2016, 2017).</w:t>
            </w:r>
          </w:p>
        </w:tc>
        <w:tc>
          <w:tcPr>
            <w:tcW w:w="3501" w:type="dxa"/>
            <w:tcBorders>
              <w:top w:val="single" w:sz="12" w:space="0" w:color="auto"/>
            </w:tcBorders>
          </w:tcPr>
          <w:p w:rsidR="002216D2" w:rsidRPr="00983FF1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realizace projektu je maximálně 12 měsíců.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</w:tcPr>
          <w:p w:rsidR="002216D2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žádost o podporu</w:t>
            </w:r>
          </w:p>
          <w:p w:rsidR="002216D2" w:rsidRPr="00983FF1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projektu</w:t>
            </w:r>
          </w:p>
          <w:p w:rsidR="002216D2" w:rsidRPr="00983FF1" w:rsidRDefault="002216D2" w:rsidP="00FB27AE">
            <w:pPr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realizace projektu je delší než 12 měsíců.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F30F7B" w:rsidRPr="002D72BE" w:rsidTr="00F30F7B">
        <w:trPr>
          <w:trHeight w:val="2231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30F7B" w:rsidRPr="00F30F7B" w:rsidRDefault="00F30F7B" w:rsidP="00F30F7B">
            <w:pPr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F30F7B" w:rsidRPr="00F30F7B" w:rsidRDefault="00F30F7B" w:rsidP="00F30F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zahrnuje realizaci komunikace pro pěší v trase pozemní komunikace zatížené automobilovou dopravou.</w:t>
            </w:r>
          </w:p>
        </w:tc>
        <w:tc>
          <w:tcPr>
            <w:tcW w:w="3501" w:type="dxa"/>
            <w:tcBorders>
              <w:top w:val="single" w:sz="12" w:space="0" w:color="auto"/>
            </w:tcBorders>
          </w:tcPr>
          <w:p w:rsidR="002216D2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Průměrná intenzita automobilové dopravy překračuje 2 500 vozidel/den.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627E5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 w:rsidRPr="002627E5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 4</w:t>
            </w:r>
          </w:p>
          <w:p w:rsidR="002216D2" w:rsidRPr="002627E5" w:rsidRDefault="002216D2" w:rsidP="00FB27AE">
            <w:pPr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/>
            <w:vAlign w:val="center"/>
          </w:tcPr>
          <w:p w:rsidR="002216D2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</w:tcPr>
          <w:p w:rsidR="002216D2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Průměrná intenzita automobilové dopravy je v rozmezí 1 001 -  2 500 vozidel/den.</w:t>
            </w:r>
          </w:p>
        </w:tc>
        <w:tc>
          <w:tcPr>
            <w:tcW w:w="3368" w:type="dxa"/>
            <w:vMerge/>
            <w:vAlign w:val="center"/>
          </w:tcPr>
          <w:p w:rsidR="002216D2" w:rsidRPr="002627E5" w:rsidRDefault="002216D2" w:rsidP="00FB27AE">
            <w:pPr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/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Průměrná intenzita automobilové dopravy je v rozmezí 301 -  1 000 vozidel/den.</w:t>
            </w:r>
          </w:p>
        </w:tc>
        <w:tc>
          <w:tcPr>
            <w:tcW w:w="3368" w:type="dxa"/>
            <w:vMerge/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Projektem není dotčena pozemní komunikace určená pro automobilovou dopravu nebo intenzita dopravy nepřekračuje 300 vozidel/den.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75367D" w:rsidRPr="002D72BE" w:rsidTr="0075367D">
        <w:trPr>
          <w:trHeight w:val="2118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5367D" w:rsidRPr="00F30F7B" w:rsidRDefault="0075367D" w:rsidP="0075367D">
            <w:pPr>
              <w:shd w:val="clear" w:color="auto" w:fill="F2F2F2" w:themeFill="background1" w:themeFillShade="F2"/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75367D" w:rsidRPr="00BC0D17" w:rsidRDefault="0075367D" w:rsidP="00FB27AE">
            <w:pPr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je zaměřen na novou výstavbu.</w:t>
            </w:r>
          </w:p>
        </w:tc>
        <w:tc>
          <w:tcPr>
            <w:tcW w:w="3501" w:type="dxa"/>
            <w:tcBorders>
              <w:top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 je zaměřen na novou výstavbu.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 w:rsidRPr="00BC0D17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 4 a 10</w:t>
            </w: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není zaměřen na novou výstavbu.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</w:p>
        </w:tc>
      </w:tr>
      <w:tr w:rsidR="0075367D" w:rsidRPr="002D72BE" w:rsidTr="0075367D">
        <w:trPr>
          <w:trHeight w:val="2401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5367D" w:rsidRPr="00F30F7B" w:rsidRDefault="0075367D" w:rsidP="0075367D">
            <w:pPr>
              <w:shd w:val="clear" w:color="auto" w:fill="F2F2F2" w:themeFill="background1" w:themeFillShade="F2"/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75367D" w:rsidRPr="0075367D" w:rsidRDefault="0075367D" w:rsidP="007536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6D2" w:rsidRPr="002D72BE" w:rsidTr="002216D2"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Zapojení cílové skupiny do přípravy projektu</w:t>
            </w:r>
          </w:p>
        </w:tc>
        <w:tc>
          <w:tcPr>
            <w:tcW w:w="3501" w:type="dxa"/>
            <w:tcBorders>
              <w:top w:val="single" w:sz="12" w:space="0" w:color="auto"/>
            </w:tcBorders>
          </w:tcPr>
          <w:p w:rsidR="002216D2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projektu je alespoň 1 z možností:</w:t>
            </w:r>
          </w:p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při rozhodování o realizaci projektu postupoval v souladu s principy komunitního plánování – anketa, veřejné projednání projektu s cílovou skupinou, účast cílové skupiny (veřejnosti) na zastupitelstvu obce při projednávání projektu, zapracování připomínek cílové skupiny do projektu.</w:t>
            </w:r>
          </w:p>
        </w:tc>
        <w:tc>
          <w:tcPr>
            <w:tcW w:w="3368" w:type="dxa"/>
            <w:vMerge w:val="restart"/>
            <w:tcBorders>
              <w:top w:val="single" w:sz="12" w:space="0" w:color="auto"/>
            </w:tcBorders>
            <w:vAlign w:val="center"/>
          </w:tcPr>
          <w:p w:rsidR="002216D2" w:rsidRPr="00B54234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příloha č. 16 Zapojení cílových skupin do přípravy projektu</w:t>
            </w:r>
          </w:p>
        </w:tc>
      </w:tr>
      <w:tr w:rsidR="002216D2" w:rsidRPr="002D72BE" w:rsidTr="002216D2">
        <w:tc>
          <w:tcPr>
            <w:tcW w:w="2419" w:type="dxa"/>
            <w:vMerge/>
            <w:tcBorders>
              <w:bottom w:val="single" w:sz="12" w:space="0" w:color="auto"/>
            </w:tcBorders>
          </w:tcPr>
          <w:p w:rsidR="002216D2" w:rsidRPr="00EF05B9" w:rsidRDefault="002216D2" w:rsidP="00FB27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01" w:type="dxa"/>
            <w:tcBorders>
              <w:bottom w:val="single" w:sz="12" w:space="0" w:color="auto"/>
            </w:tcBorders>
          </w:tcPr>
          <w:p w:rsidR="002216D2" w:rsidRPr="002D72BE" w:rsidRDefault="002216D2" w:rsidP="00FB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Cílová skupina nebyla do přípravy projektu zapojena.</w:t>
            </w:r>
          </w:p>
        </w:tc>
        <w:tc>
          <w:tcPr>
            <w:tcW w:w="3368" w:type="dxa"/>
            <w:vMerge/>
            <w:tcBorders>
              <w:bottom w:val="single" w:sz="12" w:space="0" w:color="auto"/>
            </w:tcBorders>
            <w:vAlign w:val="center"/>
          </w:tcPr>
          <w:p w:rsidR="002216D2" w:rsidRPr="002627E5" w:rsidRDefault="002216D2" w:rsidP="0090698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sz w:val="20"/>
                <w:szCs w:val="20"/>
              </w:rPr>
            </w:pPr>
          </w:p>
        </w:tc>
      </w:tr>
      <w:tr w:rsidR="00964292" w:rsidTr="00964292">
        <w:trPr>
          <w:trHeight w:val="2245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4292" w:rsidRPr="00F30F7B" w:rsidRDefault="00964292" w:rsidP="00964292">
            <w:pPr>
              <w:shd w:val="clear" w:color="auto" w:fill="F2F2F2" w:themeFill="background1" w:themeFillShade="F2"/>
              <w:spacing w:after="0" w:line="240" w:lineRule="auto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964292" w:rsidRPr="00964292" w:rsidRDefault="00964292">
            <w:pPr>
              <w:rPr>
                <w:sz w:val="20"/>
              </w:rPr>
            </w:pPr>
          </w:p>
        </w:tc>
      </w:tr>
    </w:tbl>
    <w:p w:rsidR="009015BC" w:rsidRDefault="009015BC"/>
    <w:sectPr w:rsidR="009015BC" w:rsidSect="00193B1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C7" w:rsidRDefault="006C67C7" w:rsidP="00193B1D">
      <w:pPr>
        <w:spacing w:after="0" w:line="240" w:lineRule="auto"/>
      </w:pPr>
      <w:r>
        <w:separator/>
      </w:r>
    </w:p>
  </w:endnote>
  <w:endnote w:type="continuationSeparator" w:id="0">
    <w:p w:rsidR="006C67C7" w:rsidRDefault="006C67C7" w:rsidP="0019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C7" w:rsidRDefault="006C67C7" w:rsidP="00193B1D">
      <w:pPr>
        <w:spacing w:after="0" w:line="240" w:lineRule="auto"/>
      </w:pPr>
      <w:r>
        <w:separator/>
      </w:r>
    </w:p>
  </w:footnote>
  <w:footnote w:type="continuationSeparator" w:id="0">
    <w:p w:rsidR="006C67C7" w:rsidRDefault="006C67C7" w:rsidP="0019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B1D" w:rsidRPr="00193B1D" w:rsidRDefault="00193B1D">
    <w:pPr>
      <w:pStyle w:val="Zhlav"/>
      <w:rPr>
        <w:b/>
        <w:sz w:val="24"/>
        <w:szCs w:val="24"/>
      </w:rPr>
    </w:pPr>
    <w:r w:rsidRPr="00193B1D">
      <w:rPr>
        <w:b/>
        <w:sz w:val="24"/>
        <w:szCs w:val="24"/>
      </w:rPr>
      <w:t>Příloha č.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86"/>
    <w:rsid w:val="000934FA"/>
    <w:rsid w:val="00153350"/>
    <w:rsid w:val="00193B1D"/>
    <w:rsid w:val="002216D2"/>
    <w:rsid w:val="004E41F9"/>
    <w:rsid w:val="006C67C7"/>
    <w:rsid w:val="0075367D"/>
    <w:rsid w:val="009015BC"/>
    <w:rsid w:val="00906986"/>
    <w:rsid w:val="00964292"/>
    <w:rsid w:val="00D92380"/>
    <w:rsid w:val="00E6472F"/>
    <w:rsid w:val="00F3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E5A0"/>
  <w15:docId w15:val="{A9F87B48-9EF6-476C-B1B5-075F8A75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0698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986"/>
    <w:pPr>
      <w:ind w:left="720"/>
      <w:contextualSpacing/>
    </w:pPr>
  </w:style>
  <w:style w:type="table" w:styleId="Mkatabulky">
    <w:name w:val="Table Grid"/>
    <w:basedOn w:val="Normlntabulka"/>
    <w:uiPriority w:val="39"/>
    <w:rsid w:val="0090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3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B1D"/>
  </w:style>
  <w:style w:type="paragraph" w:styleId="Zpat">
    <w:name w:val="footer"/>
    <w:basedOn w:val="Normln"/>
    <w:link w:val="ZpatChar"/>
    <w:uiPriority w:val="99"/>
    <w:unhideWhenUsed/>
    <w:rsid w:val="00193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B1D"/>
  </w:style>
  <w:style w:type="paragraph" w:styleId="Textbubliny">
    <w:name w:val="Balloon Text"/>
    <w:basedOn w:val="Normln"/>
    <w:link w:val="TextbublinyChar"/>
    <w:uiPriority w:val="99"/>
    <w:semiHidden/>
    <w:unhideWhenUsed/>
    <w:rsid w:val="0015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Vendula Maříková</cp:lastModifiedBy>
  <cp:revision>2</cp:revision>
  <cp:lastPrinted>2017-03-06T07:26:00Z</cp:lastPrinted>
  <dcterms:created xsi:type="dcterms:W3CDTF">2017-03-14T09:15:00Z</dcterms:created>
  <dcterms:modified xsi:type="dcterms:W3CDTF">2017-03-14T09:15:00Z</dcterms:modified>
</cp:coreProperties>
</file>